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29A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429AD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E214EE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E214E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етропавловск, ул.Рижская,6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E214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62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352"/>
      </w:tblGrid>
      <w:tr w:rsidR="0066290A" w:rsidRPr="0066290A" w:rsidTr="007429AD">
        <w:tc>
          <w:tcPr>
            <w:tcW w:w="707" w:type="dxa"/>
          </w:tcPr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6290A" w:rsidRPr="0066290A" w:rsidRDefault="0066290A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9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66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8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352" w:type="dxa"/>
          </w:tcPr>
          <w:p w:rsidR="0066290A" w:rsidRPr="0066290A" w:rsidRDefault="0066290A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7429AD" w:rsidRPr="0066290A" w:rsidTr="007429AD">
        <w:tc>
          <w:tcPr>
            <w:tcW w:w="707" w:type="dxa"/>
            <w:vAlign w:val="center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Натрия хлорид 0,9% 400,0</w:t>
            </w:r>
          </w:p>
        </w:tc>
        <w:tc>
          <w:tcPr>
            <w:tcW w:w="1028" w:type="dxa"/>
            <w:vAlign w:val="center"/>
          </w:tcPr>
          <w:p w:rsidR="007429AD" w:rsidRPr="007429AD" w:rsidRDefault="007429AD" w:rsidP="007429AD">
            <w:pPr>
              <w:ind w:right="-9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29AD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29AD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188,28</w:t>
            </w:r>
          </w:p>
        </w:tc>
        <w:tc>
          <w:tcPr>
            <w:tcW w:w="1352" w:type="dxa"/>
            <w:vAlign w:val="bottom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593,6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7429AD" w:rsidRPr="0066290A" w:rsidTr="007429AD">
        <w:tc>
          <w:tcPr>
            <w:tcW w:w="707" w:type="dxa"/>
            <w:vAlign w:val="center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Маннит 15% 200,0</w:t>
            </w:r>
          </w:p>
        </w:tc>
        <w:tc>
          <w:tcPr>
            <w:tcW w:w="1028" w:type="dxa"/>
            <w:vAlign w:val="center"/>
          </w:tcPr>
          <w:p w:rsidR="007429AD" w:rsidRPr="007429AD" w:rsidRDefault="007429AD" w:rsidP="007429AD">
            <w:pPr>
              <w:ind w:right="-9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29AD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29A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620</w:t>
            </w:r>
          </w:p>
        </w:tc>
        <w:tc>
          <w:tcPr>
            <w:tcW w:w="1352" w:type="dxa"/>
            <w:vAlign w:val="bottom"/>
          </w:tcPr>
          <w:p w:rsidR="007429AD" w:rsidRPr="007429AD" w:rsidRDefault="007429AD" w:rsidP="0074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7429AD" w:rsidRPr="0066290A" w:rsidTr="007429AD">
        <w:tc>
          <w:tcPr>
            <w:tcW w:w="707" w:type="dxa"/>
            <w:vAlign w:val="center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7429AD" w:rsidRPr="0066290A" w:rsidRDefault="007429AD" w:rsidP="007429AD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2" w:type="dxa"/>
            <w:vAlign w:val="bottom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34 993,60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7429AD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9AD">
        <w:rPr>
          <w:rFonts w:ascii="Times New Roman" w:hAnsi="Times New Roman" w:cs="Times New Roman"/>
          <w:sz w:val="24"/>
          <w:szCs w:val="24"/>
          <w:u w:val="single"/>
        </w:rPr>
        <w:t xml:space="preserve">34 993,60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Тридцать четыре тысячи девятьсот девяносто три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тенге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proofErr w:type="spellStart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D5341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p w:rsidR="009F06BE" w:rsidRPr="00B12EDF" w:rsidRDefault="009F06BE" w:rsidP="009F06BE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Северо-Казахстанский филиал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Казахская фармацевтическая компания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юридический адрес: Республика Казахстан, г.Петропавловск,                       ул. Жамбыла,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123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6376"/>
      </w:tblGrid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6376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9F06B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Северо-Казахстанский филиал ТОО «Казахская фармацевтическая компания «МЕДСЕРВИС ПЛЮС»</w:t>
            </w:r>
          </w:p>
        </w:tc>
      </w:tr>
      <w:tr w:rsidR="009F06BE" w:rsidRPr="00B12EDF" w:rsidTr="009F06BE">
        <w:tc>
          <w:tcPr>
            <w:tcW w:w="560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9F06BE" w:rsidRPr="00B12EDF" w:rsidRDefault="009F06BE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6376" w:type="dxa"/>
          </w:tcPr>
          <w:p w:rsidR="009F06BE" w:rsidRPr="00B12EDF" w:rsidRDefault="007429A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188,28</w:t>
            </w:r>
          </w:p>
        </w:tc>
      </w:tr>
      <w:tr w:rsidR="007429AD" w:rsidRPr="00B12EDF" w:rsidTr="009F06BE">
        <w:tc>
          <w:tcPr>
            <w:tcW w:w="560" w:type="dxa"/>
          </w:tcPr>
          <w:p w:rsidR="007429AD" w:rsidRPr="00B12EDF" w:rsidRDefault="007429AD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9" w:type="dxa"/>
          </w:tcPr>
          <w:p w:rsidR="007429AD" w:rsidRPr="00B12EDF" w:rsidRDefault="007429AD" w:rsidP="00186B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6376" w:type="dxa"/>
          </w:tcPr>
          <w:p w:rsidR="007429AD" w:rsidRDefault="007429AD" w:rsidP="007E5B4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E164A8" w:rsidRPr="00B12EDF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9F06BE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E164A8" w:rsidRPr="00B12EDF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B4D" w:rsidRPr="007E5B4D" w:rsidRDefault="001B3AA7" w:rsidP="007E5B4D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На основании п.112 главы 10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акупить </w:t>
      </w:r>
      <w:r w:rsidR="007E5B4D" w:rsidRPr="007E5B4D">
        <w:rPr>
          <w:rFonts w:ascii="Times New Roman" w:hAnsi="Times New Roman" w:cs="Times New Roman"/>
          <w:b/>
          <w:i/>
          <w:sz w:val="24"/>
          <w:szCs w:val="24"/>
        </w:rPr>
        <w:t>лот №1</w:t>
      </w:r>
      <w:r w:rsidR="00E21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 xml:space="preserve">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потенциального </w:t>
      </w:r>
      <w:r w:rsidR="007E5B4D" w:rsidRPr="007E5B4D">
        <w:rPr>
          <w:rFonts w:ascii="Times New Roman" w:hAnsi="Times New Roman" w:cs="Times New Roman"/>
          <w:i/>
          <w:sz w:val="24"/>
          <w:szCs w:val="24"/>
        </w:rPr>
        <w:t>поставщика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Северо-Казахстанский филиал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Казахская фармацевтическая компания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участием одного потенциального поставщика с представлением ценового предложения и документов согласно п.113 главы 10</w:t>
      </w:r>
      <w:r w:rsidR="00D5341F" w:rsidRPr="00817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ПП РК</w:t>
      </w:r>
      <w:r w:rsidR="00D5341F" w:rsidRPr="009232A7">
        <w:t xml:space="preserve"> </w:t>
      </w:r>
      <w:r w:rsidR="00D5341F">
        <w:rPr>
          <w:rFonts w:ascii="Times New Roman" w:hAnsi="Times New Roman" w:cs="Times New Roman"/>
          <w:i/>
          <w:sz w:val="24"/>
          <w:szCs w:val="24"/>
        </w:rPr>
        <w:t>от 30 октября 2009 года №</w:t>
      </w:r>
      <w:r w:rsidR="00D5341F" w:rsidRPr="009232A7">
        <w:rPr>
          <w:rFonts w:ascii="Times New Roman" w:hAnsi="Times New Roman" w:cs="Times New Roman"/>
          <w:i/>
          <w:sz w:val="24"/>
          <w:szCs w:val="24"/>
        </w:rPr>
        <w:t>1729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 </w:t>
      </w:r>
      <w:r w:rsidR="0074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22 593,60</w:t>
      </w:r>
      <w:r w:rsidR="004738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тенге (</w:t>
      </w:r>
      <w:r w:rsidR="0074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двадцать две тысячи пятьсот девяносто три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тенге </w:t>
      </w:r>
      <w:r w:rsidR="00742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 </w:t>
      </w:r>
      <w:proofErr w:type="spell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proofErr w:type="gramStart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  <w:r w:rsidR="007E5B4D" w:rsidRPr="007E5B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5341F" w:rsidRDefault="000E664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D5341F" w:rsidRDefault="00D5341F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0</w:t>
      </w:r>
      <w:r w:rsidR="0066290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429A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2017 жылғы </w:t>
      </w:r>
      <w:r w:rsidR="00E214E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12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3E68F9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E214EE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№0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7429AD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9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қаласы, Рига көшесі, 6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2017 жылғы</w:t>
      </w:r>
      <w:r w:rsidR="00B12EDF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214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</w:t>
      </w:r>
      <w:r w:rsidR="00CC215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9F06B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желтоқсан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Pr="00B12EDF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8760CB" w:rsidRDefault="008760CB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7"/>
        <w:gridCol w:w="5389"/>
        <w:gridCol w:w="1028"/>
        <w:gridCol w:w="1048"/>
        <w:gridCol w:w="1108"/>
        <w:gridCol w:w="1352"/>
      </w:tblGrid>
      <w:tr w:rsidR="008760CB" w:rsidRPr="0066290A" w:rsidTr="007429AD">
        <w:tc>
          <w:tcPr>
            <w:tcW w:w="707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5389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02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04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08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352" w:type="dxa"/>
          </w:tcPr>
          <w:p w:rsidR="008760CB" w:rsidRPr="00B12EDF" w:rsidRDefault="008760CB" w:rsidP="008760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7429AD" w:rsidRPr="0066290A" w:rsidTr="007429AD">
        <w:tc>
          <w:tcPr>
            <w:tcW w:w="707" w:type="dxa"/>
            <w:vAlign w:val="center"/>
          </w:tcPr>
          <w:p w:rsidR="007429AD" w:rsidRPr="0066290A" w:rsidRDefault="007429AD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vAlign w:val="center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Натрия хлорид 0,9% 400,0</w:t>
            </w:r>
          </w:p>
        </w:tc>
        <w:tc>
          <w:tcPr>
            <w:tcW w:w="1028" w:type="dxa"/>
            <w:vAlign w:val="center"/>
          </w:tcPr>
          <w:p w:rsidR="007429AD" w:rsidRPr="007429AD" w:rsidRDefault="007429AD" w:rsidP="00701039">
            <w:pPr>
              <w:ind w:right="-9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29AD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29AD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108" w:type="dxa"/>
            <w:vAlign w:val="center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188,28</w:t>
            </w:r>
          </w:p>
        </w:tc>
        <w:tc>
          <w:tcPr>
            <w:tcW w:w="1352" w:type="dxa"/>
            <w:vAlign w:val="bottom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593,6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7429AD" w:rsidRPr="0066290A" w:rsidTr="007429AD">
        <w:tc>
          <w:tcPr>
            <w:tcW w:w="707" w:type="dxa"/>
            <w:vAlign w:val="center"/>
          </w:tcPr>
          <w:p w:rsidR="007429AD" w:rsidRPr="0066290A" w:rsidRDefault="007429AD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vAlign w:val="center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Маннит 15% 200,0</w:t>
            </w:r>
          </w:p>
        </w:tc>
        <w:tc>
          <w:tcPr>
            <w:tcW w:w="1028" w:type="dxa"/>
            <w:vAlign w:val="center"/>
          </w:tcPr>
          <w:p w:rsidR="007429AD" w:rsidRPr="007429AD" w:rsidRDefault="007429AD" w:rsidP="00701039">
            <w:pPr>
              <w:ind w:right="-9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29AD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</w:p>
        </w:tc>
        <w:tc>
          <w:tcPr>
            <w:tcW w:w="1048" w:type="dxa"/>
            <w:vAlign w:val="center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29A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08" w:type="dxa"/>
            <w:vAlign w:val="center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29AD">
              <w:rPr>
                <w:rFonts w:ascii="Times New Roman" w:hAnsi="Times New Roman" w:cs="Times New Roman"/>
                <w:sz w:val="24"/>
                <w:lang w:val="kk-KZ"/>
              </w:rPr>
              <w:t>620</w:t>
            </w:r>
          </w:p>
        </w:tc>
        <w:tc>
          <w:tcPr>
            <w:tcW w:w="1352" w:type="dxa"/>
            <w:vAlign w:val="bottom"/>
          </w:tcPr>
          <w:p w:rsidR="007429AD" w:rsidRPr="007429AD" w:rsidRDefault="007429AD" w:rsidP="0070103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7429AD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7429AD" w:rsidRPr="0066290A" w:rsidTr="007429AD">
        <w:tc>
          <w:tcPr>
            <w:tcW w:w="707" w:type="dxa"/>
            <w:vAlign w:val="center"/>
          </w:tcPr>
          <w:p w:rsidR="007429AD" w:rsidRPr="0066290A" w:rsidRDefault="007429AD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7429AD" w:rsidRPr="0066290A" w:rsidRDefault="007429AD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  <w:vAlign w:val="center"/>
          </w:tcPr>
          <w:p w:rsidR="007429AD" w:rsidRPr="0066290A" w:rsidRDefault="007429AD" w:rsidP="0012591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7429AD" w:rsidRPr="0066290A" w:rsidRDefault="007429AD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7429AD" w:rsidRPr="0066290A" w:rsidRDefault="007429AD" w:rsidP="00125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2" w:type="dxa"/>
            <w:vAlign w:val="bottom"/>
          </w:tcPr>
          <w:p w:rsidR="007429AD" w:rsidRPr="0066290A" w:rsidRDefault="007429AD" w:rsidP="0074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34 993,60</w:t>
            </w:r>
          </w:p>
        </w:tc>
      </w:tr>
    </w:tbl>
    <w:p w:rsidR="0066290A" w:rsidRDefault="0066290A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7429AD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9A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34 993,60 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Отыз төрт мың тоғыз жұз токсан үш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proofErr w:type="spellStart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)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B12EDF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2016 жылғы 29 желтоқсандағы №908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ілік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профилактикалық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p w:rsidR="009F06BE" w:rsidRPr="00B12EDF" w:rsidRDefault="009F06BE" w:rsidP="009F06BE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МЕДСЕРВИС ПЛЮС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»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 фармацевтикалық компаниясы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ЖШС, Заңды мекенжайы: Казахстан Республикасы, Петропавл қ-сы, Жамбыл көшесі, </w:t>
      </w:r>
      <w:r w:rsid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123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9F06BE" w:rsidRPr="00B12EDF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851"/>
        <w:gridCol w:w="5670"/>
      </w:tblGrid>
      <w:tr w:rsidR="00D5341F" w:rsidRPr="00B12EDF" w:rsidTr="00D5341F">
        <w:tc>
          <w:tcPr>
            <w:tcW w:w="559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851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5670" w:type="dxa"/>
          </w:tcPr>
          <w:p w:rsidR="00D5341F" w:rsidRPr="00B12EDF" w:rsidRDefault="00D5341F" w:rsidP="00186B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D5341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«МЕДСЕРВИС ПЛЮС» Қазақ фармацевтикалық компаниясы» ЖШС</w:t>
            </w:r>
          </w:p>
        </w:tc>
      </w:tr>
      <w:tr w:rsidR="00D5341F" w:rsidRPr="00B12EDF" w:rsidTr="00D5341F">
        <w:tc>
          <w:tcPr>
            <w:tcW w:w="559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51" w:type="dxa"/>
          </w:tcPr>
          <w:p w:rsidR="00D5341F" w:rsidRPr="00B12EDF" w:rsidRDefault="00D5341F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5670" w:type="dxa"/>
          </w:tcPr>
          <w:p w:rsidR="00D5341F" w:rsidRPr="00B12EDF" w:rsidRDefault="007429AD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188,28</w:t>
            </w:r>
          </w:p>
        </w:tc>
      </w:tr>
      <w:tr w:rsidR="007429AD" w:rsidRPr="00B12EDF" w:rsidTr="00D5341F">
        <w:tc>
          <w:tcPr>
            <w:tcW w:w="559" w:type="dxa"/>
          </w:tcPr>
          <w:p w:rsidR="007429AD" w:rsidRPr="00B12EDF" w:rsidRDefault="007429AD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51" w:type="dxa"/>
          </w:tcPr>
          <w:p w:rsidR="007429AD" w:rsidRPr="00B12EDF" w:rsidRDefault="007429AD" w:rsidP="00813A2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№2</w:t>
            </w:r>
          </w:p>
        </w:tc>
        <w:tc>
          <w:tcPr>
            <w:tcW w:w="5670" w:type="dxa"/>
          </w:tcPr>
          <w:p w:rsidR="007429AD" w:rsidRDefault="007429AD" w:rsidP="00813A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0138AB" w:rsidRPr="00B12EDF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D5341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0138AB" w:rsidRPr="008760C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73240" w:rsidRPr="007F0C36" w:rsidRDefault="00E214EE" w:rsidP="007F0C36">
      <w:pPr>
        <w:pStyle w:val="a3"/>
        <w:numPr>
          <w:ilvl w:val="0"/>
          <w:numId w:val="8"/>
        </w:numPr>
        <w:spacing w:after="0" w:line="240" w:lineRule="auto"/>
        <w:ind w:left="0" w:hanging="41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7429AD">
        <w:rPr>
          <w:rFonts w:ascii="Times New Roman" w:hAnsi="Times New Roman" w:cs="Times New Roman"/>
          <w:b/>
          <w:i/>
          <w:sz w:val="24"/>
          <w:szCs w:val="24"/>
          <w:lang w:val="kk-KZ"/>
        </w:rPr>
        <w:t>№1</w:t>
      </w:r>
      <w:r w:rsidR="00F366E5" w:rsidRPr="007429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лот</w:t>
      </w:r>
      <w:r w:rsidR="00F366E5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F366E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бойынша </w:t>
      </w:r>
      <w:r w:rsidR="00D5341F" w:rsidRPr="00D534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ҚР Үкіметінің 2009 жылғы 30 қазандағы № 1729 Қаулысының 10 тарауы 112 тармағы негізінде  ҚРҮ 2009 жылғы 30 қазандағы № 1729 Қаулысының 10 тарауы 113 тармағына сәйкес баға ұсыныстарын және құжаттарды ұсына отыра жалғыз әлеуетті жет</w:t>
      </w:r>
      <w:r w:rsidR="00F366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кізушінің қатысуына байланысты </w:t>
      </w:r>
      <w:r w:rsidR="007429A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22593,60</w:t>
      </w:r>
      <w:r w:rsidRPr="00E214EE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(</w:t>
      </w:r>
      <w:r w:rsidR="007429A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Жиырма екі мың бес жұз тоқсан үш теңғе 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0 тиын</w:t>
      </w:r>
      <w:r w:rsidR="007429AD" w:rsidRPr="007429A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)</w:t>
      </w:r>
      <w:r w:rsidR="00F366E5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жалпы сомасымен</w:t>
      </w:r>
      <w:r w:rsidR="00F366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F366E5" w:rsidRPr="00F366E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«МЕДСЕРВИС ПЛЮС» Қазақ фармацевтикалық компаниясы» ЖШС </w:t>
      </w:r>
      <w:r w:rsidR="00D5341F" w:rsidRPr="00D5341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сатып </w:t>
      </w:r>
      <w:r w:rsidR="00D5341F" w:rsidRPr="00D5341F">
        <w:rPr>
          <w:rFonts w:ascii="Times New Roman" w:hAnsi="Times New Roman" w:cs="Times New Roman"/>
          <w:i/>
          <w:sz w:val="24"/>
          <w:szCs w:val="24"/>
          <w:lang w:val="kk-KZ"/>
        </w:rPr>
        <w:t>алынсын</w:t>
      </w: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C36" w:rsidRDefault="007F0C36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7429AD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37" w:rsidRDefault="00237637" w:rsidP="00094E6B">
      <w:pPr>
        <w:spacing w:after="0" w:line="240" w:lineRule="auto"/>
      </w:pPr>
      <w:r>
        <w:separator/>
      </w:r>
    </w:p>
  </w:endnote>
  <w:endnote w:type="continuationSeparator" w:id="0">
    <w:p w:rsidR="00237637" w:rsidRDefault="00237637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37" w:rsidRDefault="00237637" w:rsidP="00094E6B">
      <w:pPr>
        <w:spacing w:after="0" w:line="240" w:lineRule="auto"/>
      </w:pPr>
      <w:r>
        <w:separator/>
      </w:r>
    </w:p>
  </w:footnote>
  <w:footnote w:type="continuationSeparator" w:id="0">
    <w:p w:rsidR="00237637" w:rsidRDefault="00237637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B3A65"/>
    <w:rsid w:val="000C3079"/>
    <w:rsid w:val="000E664C"/>
    <w:rsid w:val="000F3466"/>
    <w:rsid w:val="00173988"/>
    <w:rsid w:val="00183B3A"/>
    <w:rsid w:val="001B3AA7"/>
    <w:rsid w:val="001E7427"/>
    <w:rsid w:val="00237637"/>
    <w:rsid w:val="00256524"/>
    <w:rsid w:val="002A4168"/>
    <w:rsid w:val="002F3FB8"/>
    <w:rsid w:val="003177D7"/>
    <w:rsid w:val="003546D2"/>
    <w:rsid w:val="00373240"/>
    <w:rsid w:val="003B3558"/>
    <w:rsid w:val="003D65E0"/>
    <w:rsid w:val="003E68F9"/>
    <w:rsid w:val="003F12D9"/>
    <w:rsid w:val="003F6079"/>
    <w:rsid w:val="0041643C"/>
    <w:rsid w:val="00423C18"/>
    <w:rsid w:val="00473835"/>
    <w:rsid w:val="004E5BCD"/>
    <w:rsid w:val="00511FED"/>
    <w:rsid w:val="00535758"/>
    <w:rsid w:val="005860D2"/>
    <w:rsid w:val="005864AF"/>
    <w:rsid w:val="005D7D94"/>
    <w:rsid w:val="005E3314"/>
    <w:rsid w:val="0066290A"/>
    <w:rsid w:val="006772FC"/>
    <w:rsid w:val="006B1E5D"/>
    <w:rsid w:val="006B4AB3"/>
    <w:rsid w:val="006C7F79"/>
    <w:rsid w:val="00702ACD"/>
    <w:rsid w:val="00703730"/>
    <w:rsid w:val="00711B71"/>
    <w:rsid w:val="00713D3D"/>
    <w:rsid w:val="007217B0"/>
    <w:rsid w:val="007429AD"/>
    <w:rsid w:val="00744E6A"/>
    <w:rsid w:val="007E5B4D"/>
    <w:rsid w:val="007F0C36"/>
    <w:rsid w:val="0082256E"/>
    <w:rsid w:val="0083109C"/>
    <w:rsid w:val="00861FD1"/>
    <w:rsid w:val="008760CB"/>
    <w:rsid w:val="00897021"/>
    <w:rsid w:val="00912127"/>
    <w:rsid w:val="00914FF2"/>
    <w:rsid w:val="0093416D"/>
    <w:rsid w:val="009F06BE"/>
    <w:rsid w:val="00A10478"/>
    <w:rsid w:val="00A3677E"/>
    <w:rsid w:val="00A47AF6"/>
    <w:rsid w:val="00A47F0D"/>
    <w:rsid w:val="00AA4991"/>
    <w:rsid w:val="00B12EDF"/>
    <w:rsid w:val="00B377D6"/>
    <w:rsid w:val="00B764D9"/>
    <w:rsid w:val="00BE245A"/>
    <w:rsid w:val="00C62CE9"/>
    <w:rsid w:val="00C7413D"/>
    <w:rsid w:val="00CA0230"/>
    <w:rsid w:val="00CA3DBF"/>
    <w:rsid w:val="00CC215C"/>
    <w:rsid w:val="00D5341F"/>
    <w:rsid w:val="00DD4443"/>
    <w:rsid w:val="00E164A8"/>
    <w:rsid w:val="00E214EE"/>
    <w:rsid w:val="00E477E7"/>
    <w:rsid w:val="00ED3A40"/>
    <w:rsid w:val="00EE583F"/>
    <w:rsid w:val="00F033C3"/>
    <w:rsid w:val="00F03DD1"/>
    <w:rsid w:val="00F04865"/>
    <w:rsid w:val="00F26633"/>
    <w:rsid w:val="00F366E5"/>
    <w:rsid w:val="00F52552"/>
    <w:rsid w:val="00F7752A"/>
    <w:rsid w:val="00FD47F1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D49D5-9E6F-4588-99AA-1A5DECF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2017-07-14T10:19:00Z</cp:lastPrinted>
  <dcterms:created xsi:type="dcterms:W3CDTF">2017-05-22T10:18:00Z</dcterms:created>
  <dcterms:modified xsi:type="dcterms:W3CDTF">2017-12-21T12:32:00Z</dcterms:modified>
</cp:coreProperties>
</file>